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kings-16"/>
    <w:p>
      <w:pPr>
        <w:pStyle w:val="Heading1"/>
      </w:pPr>
      <w:r>
        <w:t xml:space="preserve">Homiletics Analysis: 2 Kings 16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Kings 16 narrates the reign of Ahaz king of Judah (ca. 735–715 BC), one of the most spiritually catastrophic monarchs in the Southern Kingdom’s history. The chapter moves through three interlocking episodes. First, it surveys Ahaz’s comprehensive apostasy: he walks in the ways of the kings of Israel, sacrifices his son in fire after the manner of the nations the LORD dispossessed, offers sacrifices and burns incense on the high places, on hills, and under green trees (vv. 1–4). Second, it recounts the Syro-Ephraimite crisis: the kings of Syria and Israel besiege Jerusalem but cannot conquer it — a detail charged with theological irony given what follows (vv. 5–9). In response to military pressure, Ahaz strips the temple treasury, sends tribute to Tiglath-pileser of Assyria, and identifies himself as the Assyrian king’s</w:t>
      </w:r>
      <w:r>
        <w:t xml:space="preserve"> </w:t>
      </w:r>
      <w:r>
        <w:t xml:space="preserve">“servant and son”</w:t>
      </w:r>
      <w:r>
        <w:t xml:space="preserve"> </w:t>
      </w:r>
      <w:r>
        <w:t xml:space="preserve">— a declaration of political and quasi-covenantal allegiance that directly inverts his proper identity as a vassal of the LORD (v. 7). Third, the chapter’s most arresting episode: Ahaz travels to Damascus to meet Tiglath-pileser, sees an altar there, sends its blueprint back to Jerusalem, displaces the bronze altar of the LORD, and installs the Damascene altar as the primary sacrificial site — with Uriah the priest as compliant agent (vv. 10–16). The chapter closes with Ahaz further dismantling the temple furnishings for the king of Assyria, then his death and burial (vv. 17–20).</w:t>
      </w:r>
    </w:p>
    <w:p>
      <w:pPr>
        <w:pStyle w:val="BodyText"/>
      </w:pPr>
      <w:r>
        <w:rPr>
          <w:b/>
          <w:bCs/>
        </w:rPr>
        <w:t xml:space="preserve">This Text — Intent:</w:t>
      </w:r>
    </w:p>
    <w:p>
      <w:pPr>
        <w:pStyle w:val="BodyText"/>
      </w:pPr>
      <w:r>
        <w:t xml:space="preserve">God places this account in the canon not merely as biography or political history but as a case study in the spiritual anatomy of comprehensive idolatry. The text traces how a king who has already abandoned the LORD in personal practice (vv. 1–4) follows that inner defection to its institutional conclusion — replacing the divinely ordained worship infrastructure with one modeled on the empire he has chosen as his functional savior. The intent is to expose the logic of idolatry: false trust produces false allegiance, false allegiance produces institutional deformation, and institutional deformation makes the community of covenant worship look like whatever empire has captured the heart’s ultimate loyalty. This passage confronts readers with the terrible coherence of a life built around a substitute lord, and implicitly calls them to examine whether their own worship structures — personal, corporate, institutional — reflect the LORD or reflect whatever power they have chosen as their protector.</w:t>
      </w:r>
    </w:p>
    <w:p>
      <w:r>
        <w:pict>
          <v:rect style="width:0;height:1.5pt" o:hralign="center" o:hrstd="t" o:hr="t"/>
        </w:pict>
      </w:r>
    </w:p>
    <w:p>
      <w:pPr>
        <w:pStyle w:val="FirstParagraph"/>
      </w:pPr>
      <w:r>
        <w:rPr>
          <w:b/>
          <w:bCs/>
        </w:rPr>
        <w:t xml:space="preserve">Subject Sentence:</w:t>
      </w:r>
      <w:r>
        <w:t xml:space="preserve"> </w:t>
      </w:r>
      <w:r>
        <w:t xml:space="preserve">Ahaz trades covenant sonship for Assyrian servanthood and reorders temple worship to match.</w:t>
      </w:r>
    </w:p>
    <w:p>
      <w:r>
        <w:pict>
          <v:rect style="width:0;height:1.5pt" o:hralign="center" o:hrstd="t" o:hr="t"/>
        </w:pict>
      </w:r>
    </w:p>
    <w:p>
      <w:pPr>
        <w:pStyle w:val="FirstParagraph"/>
      </w:pPr>
      <w:r>
        <w:rPr>
          <w:b/>
          <w:bCs/>
        </w:rPr>
        <w:t xml:space="preserve">Primary Claim:</w:t>
      </w:r>
      <w:r>
        <w:t xml:space="preserve"> </w:t>
      </w:r>
      <w:r>
        <w:t xml:space="preserve">When a leader replaces trust in the LORD with trust in a human empire, the deformation does not stop at politics — it reaches all the way into the structure of worship itself; God places this account before us so we will recognize the terrible coherence of idolatry and examine whether our own worship has been quietly remodeled after the powers we have chosen to save us.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Syro-Ephraimite crisis and Isaiah 7:</w:t>
      </w:r>
      <w:r>
        <w:t xml:space="preserve"> </w:t>
      </w:r>
      <w:r>
        <w:t xml:space="preserve">The most significant interpretive context for 2 Kings 16 is its relationship to Isaiah 7, which provides the prophetic counter-narrative to this chapter’s account. Isaiah 7 records the LORD’s offer to Ahaz —</w:t>
      </w:r>
      <w:r>
        <w:t xml:space="preserve"> </w:t>
      </w:r>
      <w:r>
        <w:t xml:space="preserve">“Ask a sign of the LORD your God”</w:t>
      </w:r>
      <w:r>
        <w:t xml:space="preserve"> </w:t>
      </w:r>
      <w:r>
        <w:t xml:space="preserve">— and Ahaz’s pious-sounding refusal, masking his prior decision to pursue Assyrian alliance. Most orthodox traditions read Isaiah 7 and 2 Kings 16 as mutually interpreting: Ahaz had already decided. The Reformed reading rightly identifies this as the pattern of idolatry operating beneath religious language: Ahaz uses the form of devotion (</w:t>
      </w:r>
      <w:r>
        <w:t xml:space="preserve">“I will not put the LORD to the test”</w:t>
      </w:r>
      <w:r>
        <w:t xml:space="preserve">) to refuse the substance. No significant interpretive divergence among orthodox traditions on this coordination.</w:t>
      </w:r>
    </w:p>
    <w:p>
      <w:pPr>
        <w:pStyle w:val="BodyText"/>
      </w:pPr>
      <w:r>
        <w:rPr>
          <w:b/>
          <w:bCs/>
        </w:rPr>
        <w:t xml:space="preserve">The altar episode — theological weight:</w:t>
      </w:r>
      <w:r>
        <w:t xml:space="preserve"> </w:t>
      </w:r>
      <w:r>
        <w:t xml:space="preserve">Interpreters divide over how heavily to weight the altar episode. Some readings (particularly those emphasizing administrative history) treat the Damascene altar as primarily a diplomatic-political gesture — a display of submission to Tiglath-pileser’s imperial cult — rather than a direct theological defection. This reading deserves acknowledgment: the political dimension is real, and the altar may have been imposed by Assyrian suzerainty norms. However, this reading must be qualified: the narrator frames Ahaz’s actions in a context already established as comprehensive apostasy (vv. 1–4), and the displacement of the bronze altar — specifically described as moved</w:t>
      </w:r>
      <w:r>
        <w:t xml:space="preserve"> </w:t>
      </w:r>
      <w:r>
        <w:t xml:space="preserve">“from the front of the house”</w:t>
      </w:r>
      <w:r>
        <w:t xml:space="preserve"> </w:t>
      </w:r>
      <w:r>
        <w:t xml:space="preserve">to a secondary position for Ahaz’s own private inquiry — indicates the deformation is not merely diplomatic compliance but a deliberate reordering of the LORD’s house according to foreign authority. The Reformed reading holds: the altar episode is theological catastrophe, not merely political accommodation.</w:t>
      </w:r>
    </w:p>
    <w:p>
      <w:pPr>
        <w:pStyle w:val="BodyText"/>
      </w:pPr>
      <w:r>
        <w:rPr>
          <w:b/>
          <w:bCs/>
        </w:rPr>
        <w:t xml:space="preserve">Uriah the priest:</w:t>
      </w:r>
      <w:r>
        <w:t xml:space="preserve"> </w:t>
      </w:r>
      <w:r>
        <w:t xml:space="preserve">Several Wesleyan and Baptist commentators have focused on Uriah’s compliant role as a warning against institutional deference to leadership, reading him as the primary cautionary figure. This emphasis is worth retaining as a homiletical observation — the priests who facilitate idolatrous leadership bear their own culpability — but the text’s primary focus is on Ahaz, not Uriah. Uriah is a secondary figure who illustrates the institutional cascade: when the king abandons the LORD, institutional guardians of worship face pressure to comply. The Reformed reading appropriately keeps Ahaz at the center while noting Uriah’s failure as the institutional consequence.</w:t>
      </w:r>
    </w:p>
    <w:p>
      <w:pPr>
        <w:pStyle w:val="BodyText"/>
      </w:pPr>
      <w:r>
        <w:rPr>
          <w:b/>
          <w:bCs/>
        </w:rPr>
        <w:t xml:space="preserve">Dispensational reading:</w:t>
      </w:r>
      <w:r>
        <w:t xml:space="preserve"> </w:t>
      </w:r>
      <w:r>
        <w:t xml:space="preserve">Dispensational interpreters sometimes read the Syro-Ephraimite crisis with primary attention to the prophetic framework (Isaiah 7:14’s Immanuel sign), bracketing the spiritual narrative of Ahaz’s reign as background context. The Reformed canonical reading holds that the spiritual narrative of Ahaz is theologically primary in Kings, and that the Immanuel sign of Isaiah 7 is given</w:t>
      </w:r>
      <w:r>
        <w:t xml:space="preserve"> </w:t>
      </w:r>
      <w:r>
        <w:rPr>
          <w:i/>
          <w:iCs/>
        </w:rPr>
        <w:t xml:space="preserve">against</w:t>
      </w:r>
      <w:r>
        <w:t xml:space="preserve"> </w:t>
      </w:r>
      <w:r>
        <w:t xml:space="preserve">the darkness of Ahaz’s reign — the promise of a true Son of David precisely where a Davidic son has catastrophically failed. This canonical resonance is illuminating and should inform the application.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7:1–17</w:t>
      </w:r>
      <w:r>
        <w:t xml:space="preserve"> </w:t>
      </w:r>
      <w:r>
        <w:t xml:space="preserve">— The prophetic contemporaneous account of the Syro-Ephraimite crisis: the LORD offers Ahaz a sign; Ahaz refuses; the Immanuel promise is given not because of Ahaz but</w:t>
      </w:r>
      <w:r>
        <w:t xml:space="preserve"> </w:t>
      </w:r>
      <w:r>
        <w:rPr>
          <w:i/>
          <w:iCs/>
        </w:rPr>
        <w:t xml:space="preserve">despite</w:t>
      </w:r>
      <w:r>
        <w:t xml:space="preserve"> </w:t>
      </w:r>
      <w:r>
        <w:t xml:space="preserve">him, pointing to the true Son of David who will do what Ahaz refused — trust the Father completely.</w:t>
      </w:r>
    </w:p>
    <w:p>
      <w:pPr>
        <w:numPr>
          <w:ilvl w:val="0"/>
          <w:numId w:val="1001"/>
        </w:numPr>
      </w:pPr>
      <w:r>
        <w:rPr>
          <w:b/>
          <w:bCs/>
        </w:rPr>
        <w:t xml:space="preserve">Deuteronomy 17:14–20</w:t>
      </w:r>
      <w:r>
        <w:t xml:space="preserve"> </w:t>
      </w:r>
      <w:r>
        <w:t xml:space="preserve">— The law of the king: the king must not multiply horses (i.e., seek military-political power in Egypt/Assyria), must not return the people to Egypt, and must keep the law before him always. Ahaz violates every principle in this passage — the chapter is the law of the king’s nightmare made history.</w:t>
      </w:r>
    </w:p>
    <w:p>
      <w:pPr>
        <w:numPr>
          <w:ilvl w:val="0"/>
          <w:numId w:val="1001"/>
        </w:numPr>
      </w:pPr>
      <w:r>
        <w:rPr>
          <w:b/>
          <w:bCs/>
        </w:rPr>
        <w:t xml:space="preserve">1 Kings 11:1–13</w:t>
      </w:r>
      <w:r>
        <w:t xml:space="preserve"> </w:t>
      </w:r>
      <w:r>
        <w:t xml:space="preserve">— Solomon’s apostasy as the structural precedent: personal affection for foreign powers leads to accommodation of foreign worship, which leads to institutional deformation. Ahaz follows this pattern to its Southern Kingdom extreme.</w:t>
      </w:r>
    </w:p>
    <w:p>
      <w:pPr>
        <w:numPr>
          <w:ilvl w:val="0"/>
          <w:numId w:val="1001"/>
        </w:numPr>
      </w:pPr>
      <w:r>
        <w:rPr>
          <w:b/>
          <w:bCs/>
        </w:rPr>
        <w:t xml:space="preserve">2 Chronicles 28</w:t>
      </w:r>
      <w:r>
        <w:t xml:space="preserve"> </w:t>
      </w:r>
      <w:r>
        <w:t xml:space="preserve">— The Chronicler’s parallel account, which amplifies the theological verdict and records the LORD’s word through the prophet Oded regarding the Northern Kingdom’s treatment of Judah — providing the covenant-breach framing that Kings narrates more austerely.</w:t>
      </w:r>
    </w:p>
    <w:p>
      <w:pPr>
        <w:numPr>
          <w:ilvl w:val="0"/>
          <w:numId w:val="1001"/>
        </w:numPr>
      </w:pPr>
      <w:r>
        <w:rPr>
          <w:b/>
          <w:bCs/>
        </w:rPr>
        <w:t xml:space="preserve">Revelation 13:11–18</w:t>
      </w:r>
      <w:r>
        <w:t xml:space="preserve"> </w:t>
      </w:r>
      <w:r>
        <w:t xml:space="preserve">— The apocalyptic anti-type: the beast from the earth compels the reordering of all commerce and worship to reflect the empire’s image. What Ahaz does voluntarily in microcosm, the beast imposes universally — exposing the eschatological stakes of the question</w:t>
      </w:r>
      <w:r>
        <w:t xml:space="preserve"> </w:t>
      </w:r>
      <w:r>
        <w:t xml:space="preserve">“whose image does your worship bear?”</w:t>
      </w:r>
    </w:p>
    <w:p>
      <w:r>
        <w:pict>
          <v:rect style="width:0;height:1.5pt" o:hralign="center" o:hrstd="t" o:hr="t"/>
        </w:pict>
      </w:r>
    </w:p>
    <w:p>
      <w:pPr>
        <w:pStyle w:val="FirstParagraph"/>
      </w:pPr>
      <w:r>
        <w:rPr>
          <w:b/>
          <w:bCs/>
        </w:rPr>
        <w:t xml:space="preserve">Aim:</w:t>
      </w:r>
      <w:r>
        <w:t xml:space="preserve"> </w:t>
      </w:r>
      <w:r>
        <w:t xml:space="preserve">To demonstrate from Ahaz’s catastrophic reign that idolatry is not an isolated personal failure but a structurally coherent system — replacing one lord with another in every domain, including worship — and to press readers toward honest examination of what their own worship actually reflects.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1–2a</w:t>
            </w:r>
          </w:p>
        </w:tc>
        <w:tc>
          <w:tcPr/>
          <w:p>
            <w:pPr>
              <w:pStyle w:val="Compact"/>
            </w:pPr>
            <w:r>
              <w:t xml:space="preserve">Chronological introduction: Ahaz son of Jotham begins to reign at age 20; reigns 16 years in Jerusalem</w:t>
            </w:r>
          </w:p>
        </w:tc>
        <w:tc>
          <w:tcPr/>
          <w:p>
            <w:pPr>
              <w:pStyle w:val="Compact"/>
            </w:pPr>
            <w:r>
              <w:t xml:space="preserve">Standard regnal formula; age at accession unusually young</w:t>
            </w:r>
          </w:p>
        </w:tc>
      </w:tr>
      <w:tr>
        <w:tc>
          <w:tcPr/>
          <w:p>
            <w:pPr>
              <w:pStyle w:val="Compact"/>
            </w:pPr>
            <w:r>
              <w:t xml:space="preserve">2b</w:t>
            </w:r>
          </w:p>
        </w:tc>
        <w:tc>
          <w:tcPr/>
          <w:p>
            <w:pPr>
              <w:pStyle w:val="Compact"/>
            </w:pPr>
            <w:r>
              <w:t xml:space="preserve">Negative theological verdict: did not do what was right in the sight of the LORD his God, unlike David his father</w:t>
            </w:r>
          </w:p>
        </w:tc>
        <w:tc>
          <w:tcPr/>
          <w:p>
            <w:pPr>
              <w:pStyle w:val="Compact"/>
            </w:pPr>
            <w:r>
              <w:t xml:space="preserve">Explicit Davidic comparison — the standard of the covenant king</w:t>
            </w:r>
          </w:p>
        </w:tc>
      </w:tr>
      <w:tr>
        <w:tc>
          <w:tcPr/>
          <w:p>
            <w:pPr>
              <w:pStyle w:val="Compact"/>
            </w:pPr>
            <w:r>
              <w:t xml:space="preserve">3a</w:t>
            </w:r>
          </w:p>
        </w:tc>
        <w:tc>
          <w:tcPr/>
          <w:p>
            <w:pPr>
              <w:pStyle w:val="Compact"/>
            </w:pPr>
            <w:r>
              <w:t xml:space="preserve">Walked in the way of the kings of Israel</w:t>
            </w:r>
          </w:p>
        </w:tc>
        <w:tc>
          <w:tcPr/>
          <w:p>
            <w:pPr>
              <w:pStyle w:val="Compact"/>
            </w:pPr>
            <w:r>
              <w:t xml:space="preserve">Adoption of the Northern apostasy pattern by a Southern king — unusual and severe</w:t>
            </w:r>
          </w:p>
        </w:tc>
      </w:tr>
      <w:tr>
        <w:tc>
          <w:tcPr/>
          <w:p>
            <w:pPr>
              <w:pStyle w:val="Compact"/>
            </w:pPr>
            <w:r>
              <w:t xml:space="preserve">3b</w:t>
            </w:r>
          </w:p>
        </w:tc>
        <w:tc>
          <w:tcPr/>
          <w:p>
            <w:pPr>
              <w:pStyle w:val="Compact"/>
            </w:pPr>
            <w:r>
              <w:t xml:space="preserve">Burned his son as an offering, according to the detestable practices of the nations</w:t>
            </w:r>
          </w:p>
        </w:tc>
        <w:tc>
          <w:tcPr/>
          <w:p>
            <w:pPr>
              <w:pStyle w:val="Compact"/>
            </w:pPr>
            <w:r>
              <w:t xml:space="preserve">Child sacrifice — the extreme marker of Canaanite religious absorption; the language echoes Lev. 18 and Deut. 18</w:t>
            </w:r>
          </w:p>
        </w:tc>
      </w:tr>
      <w:tr>
        <w:tc>
          <w:tcPr/>
          <w:p>
            <w:pPr>
              <w:pStyle w:val="Compact"/>
            </w:pPr>
            <w:r>
              <w:t xml:space="preserve">4</w:t>
            </w:r>
          </w:p>
        </w:tc>
        <w:tc>
          <w:tcPr/>
          <w:p>
            <w:pPr>
              <w:pStyle w:val="Compact"/>
            </w:pPr>
            <w:r>
              <w:t xml:space="preserve">Sacrificed and burned incense on the high places, on the hills, and under every green tree</w:t>
            </w:r>
          </w:p>
        </w:tc>
        <w:tc>
          <w:tcPr/>
          <w:p>
            <w:pPr>
              <w:pStyle w:val="Compact"/>
            </w:pPr>
            <w:r>
              <w:t xml:space="preserve">The full array of syncretistic worship outside the temple — the LORD’s prescribed worship location abandoned</w:t>
            </w:r>
          </w:p>
        </w:tc>
      </w:tr>
      <w:tr>
        <w:tc>
          <w:tcPr/>
          <w:p>
            <w:pPr>
              <w:pStyle w:val="Compact"/>
            </w:pPr>
            <w:r>
              <w:t xml:space="preserve">5</w:t>
            </w:r>
          </w:p>
        </w:tc>
        <w:tc>
          <w:tcPr/>
          <w:p>
            <w:pPr>
              <w:pStyle w:val="Compact"/>
            </w:pPr>
            <w:r>
              <w:t xml:space="preserve">Rezin of Syria and Pekah of Israel attack Jerusalem; they besiege Ahaz but cannot fight</w:t>
            </w:r>
          </w:p>
        </w:tc>
        <w:tc>
          <w:tcPr/>
          <w:p>
            <w:pPr>
              <w:pStyle w:val="Compact"/>
            </w:pPr>
            <w:r>
              <w:t xml:space="preserve">The military crisis that precipitates the Assyrian appeal; the narrator’s</w:t>
            </w:r>
            <w:r>
              <w:t xml:space="preserve"> </w:t>
            </w:r>
            <w:r>
              <w:t xml:space="preserve">“could not fight”</w:t>
            </w:r>
            <w:r>
              <w:t xml:space="preserve"> </w:t>
            </w:r>
            <w:r>
              <w:t xml:space="preserve">is itself significant — the LORD’s hand in limiting the attack</w:t>
            </w:r>
          </w:p>
        </w:tc>
      </w:tr>
      <w:tr>
        <w:tc>
          <w:tcPr/>
          <w:p>
            <w:pPr>
              <w:pStyle w:val="Compact"/>
            </w:pPr>
            <w:r>
              <w:t xml:space="preserve">6</w:t>
            </w:r>
          </w:p>
        </w:tc>
        <w:tc>
          <w:tcPr/>
          <w:p>
            <w:pPr>
              <w:pStyle w:val="Compact"/>
            </w:pPr>
            <w:r>
              <w:t xml:space="preserve">Rezin recovers Elath for Syria; Syrians dwell there</w:t>
            </w:r>
          </w:p>
        </w:tc>
        <w:tc>
          <w:tcPr/>
          <w:p>
            <w:pPr>
              <w:pStyle w:val="Compact"/>
            </w:pPr>
            <w:r>
              <w:t xml:space="preserve">Territorial loss as a consequence of covenant unfaithfulness</w:t>
            </w:r>
          </w:p>
        </w:tc>
      </w:tr>
      <w:tr>
        <w:tc>
          <w:tcPr/>
          <w:p>
            <w:pPr>
              <w:pStyle w:val="Compact"/>
            </w:pPr>
            <w:r>
              <w:t xml:space="preserve">7</w:t>
            </w:r>
          </w:p>
        </w:tc>
        <w:tc>
          <w:tcPr/>
          <w:p>
            <w:pPr>
              <w:pStyle w:val="Compact"/>
            </w:pPr>
            <w:r>
              <w:t xml:space="preserve">Ahaz sends messengers to Tiglath-pileser:</w:t>
            </w:r>
            <w:r>
              <w:t xml:space="preserve"> </w:t>
            </w:r>
            <w:r>
              <w:t xml:space="preserve">“I am your servant and your son. Come up and rescue me.”</w:t>
            </w:r>
          </w:p>
        </w:tc>
        <w:tc>
          <w:tcPr/>
          <w:p>
            <w:pPr>
              <w:pStyle w:val="Compact"/>
            </w:pPr>
            <w:r>
              <w:t xml:space="preserve">The theological pivot of the chapter: Ahaz inverts the covenant formula — he calls himself servant-son of the Assyrian king, not the LORD</w:t>
            </w:r>
          </w:p>
        </w:tc>
      </w:tr>
      <w:tr>
        <w:tc>
          <w:tcPr/>
          <w:p>
            <w:pPr>
              <w:pStyle w:val="Compact"/>
            </w:pPr>
            <w:r>
              <w:t xml:space="preserve">8</w:t>
            </w:r>
          </w:p>
        </w:tc>
        <w:tc>
          <w:tcPr/>
          <w:p>
            <w:pPr>
              <w:pStyle w:val="Compact"/>
            </w:pPr>
            <w:r>
              <w:t xml:space="preserve">Ahaz strips temple silver and gold, sends it as tribute to Assyria</w:t>
            </w:r>
          </w:p>
        </w:tc>
        <w:tc>
          <w:tcPr/>
          <w:p>
            <w:pPr>
              <w:pStyle w:val="Compact"/>
            </w:pPr>
            <w:r>
              <w:t xml:space="preserve">The temple treasury — covenant symbol of the LORD’s provision — plundered to pay the substitute lord</w:t>
            </w:r>
          </w:p>
        </w:tc>
      </w:tr>
      <w:tr>
        <w:tc>
          <w:tcPr/>
          <w:p>
            <w:pPr>
              <w:pStyle w:val="Compact"/>
            </w:pPr>
            <w:r>
              <w:t xml:space="preserve">9</w:t>
            </w:r>
          </w:p>
        </w:tc>
        <w:tc>
          <w:tcPr/>
          <w:p>
            <w:pPr>
              <w:pStyle w:val="Compact"/>
            </w:pPr>
            <w:r>
              <w:t xml:space="preserve">Tiglath-pileser responds, captures Damascus, kills Rezin</w:t>
            </w:r>
          </w:p>
        </w:tc>
        <w:tc>
          <w:tcPr/>
          <w:p>
            <w:pPr>
              <w:pStyle w:val="Compact"/>
            </w:pPr>
            <w:r>
              <w:t xml:space="preserve">Assyria</w:t>
            </w:r>
            <w:r>
              <w:t xml:space="preserve"> </w:t>
            </w:r>
            <w:r>
              <w:t xml:space="preserve">“delivers”</w:t>
            </w:r>
            <w:r>
              <w:t xml:space="preserve"> </w:t>
            </w:r>
            <w:r>
              <w:t xml:space="preserve">Ahaz — the idol apparently works, at a catastrophic long-term cost</w:t>
            </w:r>
          </w:p>
        </w:tc>
      </w:tr>
      <w:tr>
        <w:tc>
          <w:tcPr/>
          <w:p>
            <w:pPr>
              <w:pStyle w:val="Compact"/>
            </w:pPr>
            <w:r>
              <w:t xml:space="preserve">10</w:t>
            </w:r>
          </w:p>
        </w:tc>
        <w:tc>
          <w:tcPr/>
          <w:p>
            <w:pPr>
              <w:pStyle w:val="Compact"/>
            </w:pPr>
            <w:r>
              <w:t xml:space="preserve">Ahaz goes to Damascus, sees the altar, sends Uriah the priest the design and pattern</w:t>
            </w:r>
          </w:p>
        </w:tc>
        <w:tc>
          <w:tcPr/>
          <w:p>
            <w:pPr>
              <w:pStyle w:val="Compact"/>
            </w:pPr>
            <w:r>
              <w:t xml:space="preserve">The diplomatic visit becomes the mechanism of worship deformation; the altar is observed, admired, replicated</w:t>
            </w:r>
          </w:p>
        </w:tc>
      </w:tr>
      <w:tr>
        <w:tc>
          <w:tcPr/>
          <w:p>
            <w:pPr>
              <w:pStyle w:val="Compact"/>
            </w:pPr>
            <w:r>
              <w:t xml:space="preserve">11</w:t>
            </w:r>
          </w:p>
        </w:tc>
        <w:tc>
          <w:tcPr/>
          <w:p>
            <w:pPr>
              <w:pStyle w:val="Compact"/>
            </w:pPr>
            <w:r>
              <w:t xml:space="preserve">Uriah builds the altar according to the plan before Ahaz returns</w:t>
            </w:r>
          </w:p>
        </w:tc>
        <w:tc>
          <w:tcPr/>
          <w:p>
            <w:pPr>
              <w:pStyle w:val="Compact"/>
            </w:pPr>
            <w:r>
              <w:t xml:space="preserve">Priestly compliance — the institutional guardian of worship implements the innovation without recorded objection</w:t>
            </w:r>
          </w:p>
        </w:tc>
      </w:tr>
      <w:tr>
        <w:tc>
          <w:tcPr/>
          <w:p>
            <w:pPr>
              <w:pStyle w:val="Compact"/>
            </w:pPr>
            <w:r>
              <w:t xml:space="preserve">12–13</w:t>
            </w:r>
          </w:p>
        </w:tc>
        <w:tc>
          <w:tcPr/>
          <w:p>
            <w:pPr>
              <w:pStyle w:val="Compact"/>
            </w:pPr>
            <w:r>
              <w:t xml:space="preserve">Ahaz arrives, makes offerings on the new altar — burnt offering, grain, libation, peace offering</w:t>
            </w:r>
          </w:p>
        </w:tc>
        <w:tc>
          <w:tcPr/>
          <w:p>
            <w:pPr>
              <w:pStyle w:val="Compact"/>
            </w:pPr>
            <w:r>
              <w:t xml:space="preserve">The full range of covenant sacrifices now offered on a foreign altar; the liturgical forms preserved while the object is exchanged</w:t>
            </w:r>
          </w:p>
        </w:tc>
      </w:tr>
      <w:tr>
        <w:tc>
          <w:tcPr/>
          <w:p>
            <w:pPr>
              <w:pStyle w:val="Compact"/>
            </w:pPr>
            <w:r>
              <w:t xml:space="preserve">14</w:t>
            </w:r>
          </w:p>
        </w:tc>
        <w:tc>
          <w:tcPr/>
          <w:p>
            <w:pPr>
              <w:pStyle w:val="Compact"/>
            </w:pPr>
            <w:r>
              <w:t xml:space="preserve">Bronze altar (the LORD’s altar) moved from its place; Ahaz moves it to the north side</w:t>
            </w:r>
          </w:p>
        </w:tc>
        <w:tc>
          <w:tcPr/>
          <w:p>
            <w:pPr>
              <w:pStyle w:val="Compact"/>
            </w:pPr>
            <w:r>
              <w:t xml:space="preserve">The displacement of the divinely ordained altar — relegated but not yet destroyed; Ahaz keeps it for his own</w:t>
            </w:r>
            <w:r>
              <w:t xml:space="preserve"> </w:t>
            </w:r>
            <w:r>
              <w:t xml:space="preserve">“inquiry”</w:t>
            </w:r>
            <w:r>
              <w:t xml:space="preserve"> </w:t>
            </w:r>
            <w:r>
              <w:t xml:space="preserve">(v. 15)</w:t>
            </w:r>
          </w:p>
        </w:tc>
      </w:tr>
      <w:tr>
        <w:tc>
          <w:tcPr/>
          <w:p>
            <w:pPr>
              <w:pStyle w:val="Compact"/>
            </w:pPr>
            <w:r>
              <w:t xml:space="preserve">15</w:t>
            </w:r>
          </w:p>
        </w:tc>
        <w:tc>
          <w:tcPr/>
          <w:p>
            <w:pPr>
              <w:pStyle w:val="Compact"/>
            </w:pPr>
            <w:r>
              <w:t xml:space="preserve">Ahaz commands: new altar for all official offerings; bronze altar for the king’s private inquiry</w:t>
            </w:r>
          </w:p>
        </w:tc>
        <w:tc>
          <w:tcPr/>
          <w:p>
            <w:pPr>
              <w:pStyle w:val="Compact"/>
            </w:pPr>
            <w:r>
              <w:t xml:space="preserve">The LORD’s altar is demoted to a private instrument of divination for the king; the Damascene altar becomes the official worship center</w:t>
            </w:r>
          </w:p>
        </w:tc>
      </w:tr>
      <w:tr>
        <w:tc>
          <w:tcPr/>
          <w:p>
            <w:pPr>
              <w:pStyle w:val="Compact"/>
            </w:pPr>
            <w:r>
              <w:t xml:space="preserve">16</w:t>
            </w:r>
          </w:p>
        </w:tc>
        <w:tc>
          <w:tcPr/>
          <w:p>
            <w:pPr>
              <w:pStyle w:val="Compact"/>
            </w:pPr>
            <w:r>
              <w:t xml:space="preserve">Uriah the priest does according to all that Ahaz commanded</w:t>
            </w:r>
          </w:p>
        </w:tc>
        <w:tc>
          <w:tcPr/>
          <w:p>
            <w:pPr>
              <w:pStyle w:val="Compact"/>
            </w:pPr>
            <w:r>
              <w:t xml:space="preserve">The institutional capitulation complete; no recorded resistance</w:t>
            </w:r>
          </w:p>
        </w:tc>
      </w:tr>
      <w:tr>
        <w:tc>
          <w:tcPr/>
          <w:p>
            <w:pPr>
              <w:pStyle w:val="Compact"/>
            </w:pPr>
            <w:r>
              <w:t xml:space="preserve">17–18</w:t>
            </w:r>
          </w:p>
        </w:tc>
        <w:tc>
          <w:tcPr/>
          <w:p>
            <w:pPr>
              <w:pStyle w:val="Compact"/>
            </w:pPr>
            <w:r>
              <w:t xml:space="preserve">Ahaz dismantles temple furnishings — removes panels, basins, sea from oxen, covered portal — for the king of Assyria</w:t>
            </w:r>
          </w:p>
        </w:tc>
        <w:tc>
          <w:tcPr/>
          <w:p>
            <w:pPr>
              <w:pStyle w:val="Compact"/>
            </w:pPr>
            <w:r>
              <w:t xml:space="preserve">The stripping of the temple continues; now structural elements, not just treasury — the temple itself is dismantled to maintain the Assyrian relationship</w:t>
            </w:r>
          </w:p>
        </w:tc>
      </w:tr>
      <w:tr>
        <w:tc>
          <w:tcPr/>
          <w:p>
            <w:pPr>
              <w:pStyle w:val="Compact"/>
            </w:pPr>
            <w:r>
              <w:t xml:space="preserve">19–20</w:t>
            </w:r>
          </w:p>
        </w:tc>
        <w:tc>
          <w:tcPr/>
          <w:p>
            <w:pPr>
              <w:pStyle w:val="Compact"/>
            </w:pPr>
            <w:r>
              <w:t xml:space="preserve">Closing regnal formula: the rest of Ahaz’s acts in the chronicles; death, burial, succeeded by Hezekiah</w:t>
            </w:r>
          </w:p>
        </w:tc>
        <w:tc>
          <w:tcPr/>
          <w:p>
            <w:pPr>
              <w:pStyle w:val="Compact"/>
            </w:pPr>
            <w:r>
              <w:t xml:space="preserve">Hezekiah immediately follows — the contrast between these two kings will drive the next several chapters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The King Who Chose the Wrong Pattern</w:t>
            </w:r>
          </w:p>
        </w:tc>
      </w:tr>
      <w:tr>
        <w:tc>
          <w:tcPr/>
          <w:p>
            <w:pPr>
              <w:pStyle w:val="Compact"/>
            </w:pPr>
            <w:r>
              <w:t xml:space="preserve">2</w:t>
            </w:r>
          </w:p>
        </w:tc>
        <w:tc>
          <w:tcPr/>
          <w:p>
            <w:pPr>
              <w:pStyle w:val="Compact"/>
            </w:pPr>
            <w:r>
              <w:t xml:space="preserve">5–9</w:t>
            </w:r>
          </w:p>
        </w:tc>
        <w:tc>
          <w:tcPr/>
          <w:p>
            <w:pPr>
              <w:pStyle w:val="Compact"/>
            </w:pPr>
            <w:r>
              <w:t xml:space="preserve">The Crisis That Reveals Where Trust Actually Lives</w:t>
            </w:r>
          </w:p>
        </w:tc>
      </w:tr>
      <w:tr>
        <w:tc>
          <w:tcPr/>
          <w:p>
            <w:pPr>
              <w:pStyle w:val="Compact"/>
            </w:pPr>
            <w:r>
              <w:t xml:space="preserve">3</w:t>
            </w:r>
          </w:p>
        </w:tc>
        <w:tc>
          <w:tcPr/>
          <w:p>
            <w:pPr>
              <w:pStyle w:val="Compact"/>
            </w:pPr>
            <w:r>
              <w:t xml:space="preserve">10–16</w:t>
            </w:r>
          </w:p>
        </w:tc>
        <w:tc>
          <w:tcPr/>
          <w:p>
            <w:pPr>
              <w:pStyle w:val="Compact"/>
            </w:pPr>
            <w:r>
              <w:t xml:space="preserve">The Altar That Replaced the Altar</w:t>
            </w:r>
          </w:p>
        </w:tc>
      </w:tr>
      <w:tr>
        <w:tc>
          <w:tcPr/>
          <w:p>
            <w:pPr>
              <w:pStyle w:val="Compact"/>
            </w:pPr>
            <w:r>
              <w:t xml:space="preserve">4</w:t>
            </w:r>
          </w:p>
        </w:tc>
        <w:tc>
          <w:tcPr/>
          <w:p>
            <w:pPr>
              <w:pStyle w:val="Compact"/>
            </w:pPr>
            <w:r>
              <w:t xml:space="preserve">17–20</w:t>
            </w:r>
          </w:p>
        </w:tc>
        <w:tc>
          <w:tcPr/>
          <w:p>
            <w:pPr>
              <w:pStyle w:val="Compact"/>
            </w:pPr>
            <w:r>
              <w:t xml:space="preserve">The Temple Stripped for the Empire’s Sake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Ahaz trades covenant sonship for Assyrian servanthood and reorders temple worship to match.</w:t>
      </w:r>
    </w:p>
    <w:p>
      <w:pPr>
        <w:pStyle w:val="BodyText"/>
      </w:pPr>
      <w:r>
        <w:rPr>
          <w:b/>
          <w:bCs/>
        </w:rPr>
        <w:t xml:space="preserve">Primary Claim:</w:t>
      </w:r>
      <w:r>
        <w:t xml:space="preserve"> </w:t>
      </w:r>
      <w:r>
        <w:t xml:space="preserve">When a leader replaces trust in the LORD with trust in a human empire, the deformation does not stop at politics — it reaches all the way into the structure of worship itself; God places this account before us so we will recognize the terrible coherence of idolatry and examine whether our own worship has been quietly remodeled after the powers we have chosen to save us.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Recognize that idolatry is a system, not an incident.</w:t>
      </w:r>
      <w:r>
        <w:t xml:space="preserve"> </w:t>
      </w:r>
      <w:r>
        <w:t xml:space="preserve">Ahaz did not make one bad decision under pressure — he had already abandoned the LORD before the Syro-Ephraimite crisis arrived (vv. 1–4 precede vv. 5–9). The crisis simply revealed and extended what was already true internally. We tend to treat idolatrous compromise as a series of isolated, understandable choices; the text shows it is a coherent system with its own internal logic: the lord you choose determines the identity you assume, the allegiances you form, and eventually the worship you practice. The application is diagnostic and cognitive: trace your decisions backwards. The altar you build in crisis was probably designed in the quiet. Ask not just</w:t>
      </w:r>
      <w:r>
        <w:t xml:space="preserve"> </w:t>
      </w:r>
      <w:r>
        <w:t xml:space="preserve">“what did I do?”</w:t>
      </w:r>
      <w:r>
        <w:t xml:space="preserve"> </w:t>
      </w:r>
      <w:r>
        <w:t xml:space="preserve">but</w:t>
      </w:r>
      <w:r>
        <w:t xml:space="preserve"> </w:t>
      </w:r>
      <w:r>
        <w:t xml:space="preserve">“what have I already decided about where safety comes from?”</w:t>
      </w:r>
    </w:p>
    <w:p>
      <w:pPr>
        <w:pStyle w:val="BodyText"/>
      </w:pPr>
      <w:r>
        <w:rPr>
          <w:b/>
          <w:bCs/>
        </w:rPr>
        <w:t xml:space="preserve">2. [Affections/Worship] — Grieve the way fear of the wrong thing produces allegiance to the wrong lord.</w:t>
      </w:r>
      <w:r>
        <w:t xml:space="preserve"> </w:t>
      </w:r>
      <w:r>
        <w:t xml:space="preserve">Verse 7 is one of the most theologically devastating sentences in Kings:</w:t>
      </w:r>
      <w:r>
        <w:t xml:space="preserve"> </w:t>
      </w:r>
      <w:r>
        <w:t xml:space="preserve">“I am your servant and your son — come up and rescue me.”</w:t>
      </w:r>
      <w:r>
        <w:t xml:space="preserve"> </w:t>
      </w:r>
      <w:r>
        <w:t xml:space="preserve">These are covenant words emptied of covenant content, directed to the wrong father. Ahaz does not feel the horror of this because his affections have been disordered long enough that Assyria feels like safety and the LORD feels like risk. The application presses at the affective level: what power, relationship, institution, or identity currently feels like safety to you in a way that the LORD does not? You will not understand Ahaz as a distant villain until you feel the pull of the same logic — the empire that offers rescue is compelling precisely when the covenant God seems silent.</w:t>
      </w:r>
    </w:p>
    <w:p>
      <w:pPr>
        <w:pStyle w:val="BodyText"/>
      </w:pPr>
      <w:r>
        <w:rPr>
          <w:b/>
          <w:bCs/>
        </w:rPr>
        <w:t xml:space="preserve">3. [Will/Behavior] — Refuse to strip what belongs to the LORD in order to maintain the relationship with what you’ve chosen instead.</w:t>
      </w:r>
      <w:r>
        <w:t xml:space="preserve"> </w:t>
      </w:r>
      <w:r>
        <w:t xml:space="preserve">Ahaz takes silver and gold from the temple treasury (v. 8) and later dismantles the temple’s structural furnishings (vv. 17–18) to sustain his relationship with Tiglath-pileser. This is concrete and actionable: he robs the LORD’s house to pay the substitute lord’s bills. The behavioral application is not abstract: where are you redirecting time, money, attention, or energy that properly belongs to the LORD’s purposes in order to maintain the relationships, systems, or securities you have chosen? Identify one specific reallocation and reverse it.</w:t>
      </w:r>
    </w:p>
    <w:p>
      <w:pPr>
        <w:pStyle w:val="BodyText"/>
      </w:pPr>
      <w:r>
        <w:rPr>
          <w:b/>
          <w:bCs/>
        </w:rPr>
        <w:t xml:space="preserve">4. [Mind/Belief] — Understand that Uriah’s compliance is not neutrality — institutional deference to idolatrous leadership is its own form of faithlessness.</w:t>
      </w:r>
      <w:r>
        <w:t xml:space="preserve"> </w:t>
      </w:r>
      <w:r>
        <w:t xml:space="preserve">Uriah the priest builds the altar, oversees the liturgical transition, and executes every command without recorded objection. He may have told himself he was simply serving the king, maintaining institutional continuity, avoiding a confrontation he couldn’t win. The text names none of this as mitigation —</w:t>
      </w:r>
      <w:r>
        <w:t xml:space="preserve"> </w:t>
      </w:r>
      <w:r>
        <w:t xml:space="preserve">“Uriah the priest did according to all that King Ahaz commanded”</w:t>
      </w:r>
      <w:r>
        <w:t xml:space="preserve"> </w:t>
      </w:r>
      <w:r>
        <w:t xml:space="preserve">(v. 16) is an epitaph, not an endorsement. The cognitive application is directed particularly at those in institutional roles: the question is not whether you built the altar or merely implemented someone else’s instructions. When the worship you oversee is being remodeled after the wrong pattern, silence and technical compliance are not faithfulness.</w:t>
      </w:r>
    </w:p>
    <w:p>
      <w:pPr>
        <w:pStyle w:val="BodyText"/>
      </w:pPr>
      <w:r>
        <w:rPr>
          <w:b/>
          <w:bCs/>
        </w:rPr>
        <w:t xml:space="preserve">5. [Affections/Worship] — Let Ahaz’s failure clarify your longing for the true Son of David who trusted the Father completely.</w:t>
      </w:r>
      <w:r>
        <w:t xml:space="preserve"> </w:t>
      </w:r>
      <w:r>
        <w:t xml:space="preserve">Ahaz is a son of David who calls himself the son of Tiglath-pileser. Against this darkness, the Immanuel promise of Isaiah 7 blazes: the LORD will give a sign despite Ahaz, not because of him — a son who will be called</w:t>
      </w:r>
      <w:r>
        <w:t xml:space="preserve"> </w:t>
      </w:r>
      <w:r>
        <w:t xml:space="preserve">“God with us,”</w:t>
      </w:r>
      <w:r>
        <w:t xml:space="preserve"> </w:t>
      </w:r>
      <w:r>
        <w:t xml:space="preserve">who will</w:t>
      </w:r>
      <w:r>
        <w:t xml:space="preserve"> </w:t>
      </w:r>
      <w:r>
        <w:t xml:space="preserve">“know how to refuse evil and choose good”</w:t>
      </w:r>
      <w:r>
        <w:t xml:space="preserve"> </w:t>
      </w:r>
      <w:r>
        <w:t xml:space="preserve">(Isa. 7:15–16), who will trust the Father where Ahaz did not. The affective application is not primarily</w:t>
      </w:r>
      <w:r>
        <w:t xml:space="preserve"> </w:t>
      </w:r>
      <w:r>
        <w:t xml:space="preserve">“be better than Ahaz”</w:t>
      </w:r>
      <w:r>
        <w:t xml:space="preserve"> </w:t>
      </w:r>
      <w:r>
        <w:t xml:space="preserve">but</w:t>
      </w:r>
      <w:r>
        <w:t xml:space="preserve"> </w:t>
      </w:r>
      <w:r>
        <w:t xml:space="preserve">“recognize that you needed what Ahaz could not give you — a king who trusted, worshipped, and obeyed the Father in your place.”</w:t>
      </w:r>
      <w:r>
        <w:t xml:space="preserve"> </w:t>
      </w:r>
      <w:r>
        <w:t xml:space="preserve">Let the horror of Ahaz’s chapter deepen your gratitude for the chapter Jesus lived.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chapter teaches that the LORD is not merely one loyalty among many to be balanced against political realities — He is the only legitimate Lord of the covenant king, and His claims on worship are comprehensive, not compartmental. When Ahaz designates the Damascene altar as the official site and demotes the LORD’s bronze altar to personal inquiry, he is not merely adapting worship practices — he is making a theological claim about who actually governs. The text also teaches that the LORD’s sovereignty is not threatened by Ahaz’s defection: the siege of Jerusalem fails (v. 5), and the Chronicler’s account makes clear that every consequence Ahaz experiences is the LORD’s hand, not Assyria’s. The temple, even being stripped, remains the LORD’s house — its deformation is a tragedy against a backdrop of divine patience. Finally, this chapter teaches the covenant category of</w:t>
      </w:r>
      <w:r>
        <w:t xml:space="preserve"> </w:t>
      </w:r>
      <w:r>
        <w:t xml:space="preserve">“son of David”</w:t>
      </w:r>
      <w:r>
        <w:t xml:space="preserve"> </w:t>
      </w:r>
      <w:r>
        <w:t xml:space="preserve">as a theological norm, not merely a genealogical fact: Ahaz has the lineage but has vacated the identity, and the contrast with what a true son should be becomes the ground for messianic longing.</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a canonical exhibit of what the Reformed tradition calls the</w:t>
      </w:r>
      <w:r>
        <w:t xml:space="preserve"> </w:t>
      </w:r>
      <w:r>
        <w:t xml:space="preserve">“miserable condition”</w:t>
      </w:r>
      <w:r>
        <w:t xml:space="preserve"> </w:t>
      </w:r>
      <w:r>
        <w:t xml:space="preserve">that precedes grace — not merely personal sin but systemic, structurally embedded covenant unfaithfulness that cannot be corrected from within. Ahaz cannot reform himself; Uriah cannot reform the institution; the political situation cannot be reversed by better strategy. What this chapter inaugurates — the long slide toward Babylonian exile — can only be interrupted by sovereign grace, which is precisely what Hezekiah’s reign represents (and even Hezekiah’s reform is temporary). The passage also illustrates the Reformed understanding of idolatry as structural, not merely behavioral: Calvin’s insistence that the human heart is a perpetual idol factory is here displayed at the level of institutional worship, not just private vice. The altar built in Damascus’s image is the corporate crystallization of a heart that has worshipped elsewhere for years. Most significantly for Reformed homiletics, this passage is irreducibly Christological — not by allegory but by typological contrast and canonical anticipation: the failed son of David in 2 Kings 16 creates the negative space within which the true Son of David is promised (Isaiah 7), incarnated, and glorified. The gospel is not imposed on this text; the text requires it.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Ahaz shows us what idolatry looks like when it runs to completion: you declare yourself the servant of whatever has promised to save you, you strip everything belonging to the true Lord to pay the substitute, and you rebuild your worship so it looks like your empire. The text holds a mirror up and asks one question — whose image does your worship bear? And then it points past Ahaz to the Son he should have been but wasn’t, the one who trusted the Father all the way to the cross and in doing so became the rescue Ahaz was desperately trying to manufacture.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Ahaz as a uniquely monstrous exception rather than a clarifying mirror.</w:t>
      </w:r>
      <w:r>
        <w:t xml:space="preserve"> </w:t>
      </w:r>
      <w:r>
        <w:t xml:space="preserve">The temptation is to preach Ahaz as so extreme — child sacrifice, altar replacement, temple stripping — that listeners conclude he is in a different moral category from themselves. The text’s intent is the opposite: Ahaz is an extreme case that exposes the logic present in ordinary idolatry. Preach him as a lens, not an anomaly. The listener who finds Ahaz obviously terrible without finding themselves implicated in the same structural logic has missed the passage’s intent.</w:t>
      </w:r>
    </w:p>
    <w:p>
      <w:pPr>
        <w:numPr>
          <w:ilvl w:val="0"/>
          <w:numId w:val="1002"/>
        </w:numPr>
      </w:pPr>
      <w:r>
        <w:rPr>
          <w:b/>
          <w:bCs/>
        </w:rPr>
        <w:t xml:space="preserve">Focusing on Uriah the priest at the expense of Ahaz.</w:t>
      </w:r>
      <w:r>
        <w:t xml:space="preserve"> </w:t>
      </w:r>
      <w:r>
        <w:t xml:space="preserve">Uriah is a compelling secondary figure — the compliant institutional guardian is a perennially relevant character — but he is secondary. A sermon that makes Uriah the primary cautionary figure has shifted the text’s center of gravity. Ahaz is the subject; Uriah is the institutional consequence. Address both, but keep the weight proportionate.</w:t>
      </w:r>
    </w:p>
    <w:p>
      <w:pPr>
        <w:numPr>
          <w:ilvl w:val="0"/>
          <w:numId w:val="1002"/>
        </w:numPr>
      </w:pPr>
      <w:r>
        <w:rPr>
          <w:b/>
          <w:bCs/>
        </w:rPr>
        <w:t xml:space="preserve">Preaching the Syro-Ephraimite crisis as primarily a geopolitical case study.</w:t>
      </w:r>
      <w:r>
        <w:t xml:space="preserve"> </w:t>
      </w:r>
      <w:r>
        <w:t xml:space="preserve">The military and diplomatic details are real, but the narrator frames them theologically. The siege of Jerusalem that</w:t>
      </w:r>
      <w:r>
        <w:t xml:space="preserve"> </w:t>
      </w:r>
      <w:r>
        <w:t xml:space="preserve">“could not fight”</w:t>
      </w:r>
      <w:r>
        <w:t xml:space="preserve"> </w:t>
      </w:r>
      <w:r>
        <w:t xml:space="preserve">(v. 5) is a theological datum — the LORD restrained Israel’s enemies even while Ahaz was apostatizing. The crisis is not about ancient Near Eastern geopolitics; it is about what Ahaz’s response to pressure reveals about where his trust actually lived. Keep the theological frame primary.</w:t>
      </w:r>
    </w:p>
    <w:p>
      <w:pPr>
        <w:numPr>
          <w:ilvl w:val="0"/>
          <w:numId w:val="1002"/>
        </w:numPr>
      </w:pPr>
      <w:r>
        <w:rPr>
          <w:b/>
          <w:bCs/>
        </w:rPr>
        <w:t xml:space="preserve">Omitting the Isaiah 7 / Immanuel canonical connection.</w:t>
      </w:r>
      <w:r>
        <w:t xml:space="preserve"> </w:t>
      </w:r>
      <w:r>
        <w:t xml:space="preserve">To preach 2 Kings 16 without at least noting its relationship to Isaiah 7 is to leave the passage in pure darkness with no gospel vector. The Immanuel promise is given specifically against the backdrop of Ahaz’s failure — the true Son of David is promised precisely where the covenant son has catastrophically defaulted. The Reformed preacher should not allegorize this connection but should trace the typological-canonical arc: Ahaz’s failure creates the negative space that the incarnation fills.</w:t>
      </w:r>
    </w:p>
    <w:p>
      <w:pPr>
        <w:numPr>
          <w:ilvl w:val="0"/>
          <w:numId w:val="1002"/>
        </w:numPr>
      </w:pPr>
      <w:r>
        <w:rPr>
          <w:b/>
          <w:bCs/>
        </w:rPr>
        <w:t xml:space="preserve">Moralistic application:</w:t>
      </w:r>
      <w:r>
        <w:rPr>
          <w:b/>
          <w:bCs/>
        </w:rPr>
        <w:t xml:space="preserve"> </w:t>
      </w:r>
      <w:r>
        <w:rPr>
          <w:b/>
          <w:bCs/>
        </w:rPr>
        <w:t xml:space="preserve">“Don’t be like Ahaz — trust God instead.”</w:t>
      </w:r>
      <w:r>
        <w:t xml:space="preserve"> </w:t>
      </w:r>
      <w:r>
        <w:t xml:space="preserve">This is the Clowney anti-moralism warning applied directly.</w:t>
      </w:r>
      <w:r>
        <w:t xml:space="preserve"> </w:t>
      </w:r>
      <w:r>
        <w:t xml:space="preserve">“Trust God, not Assyria”</w:t>
      </w:r>
      <w:r>
        <w:t xml:space="preserve"> </w:t>
      </w:r>
      <w:r>
        <w:t xml:space="preserve">as a bare imperative answers the wrong question. The text is not primarily asking</w:t>
      </w:r>
      <w:r>
        <w:t xml:space="preserve"> </w:t>
      </w:r>
      <w:r>
        <w:t xml:space="preserve">“what should Ahaz have done?”</w:t>
      </w:r>
      <w:r>
        <w:t xml:space="preserve"> </w:t>
      </w:r>
      <w:r>
        <w:t xml:space="preserve">but</w:t>
      </w:r>
      <w:r>
        <w:t xml:space="preserve"> </w:t>
      </w:r>
      <w:r>
        <w:t xml:space="preserve">“why couldn’t he?”</w:t>
      </w:r>
      <w:r>
        <w:t xml:space="preserve"> </w:t>
      </w:r>
      <w:r>
        <w:t xml:space="preserve">The answer is not insufficient willpower but a heart already given elsewhere. Application must diagnose the root (misplaced trust and disordered affection) and point to the gospel resource (the true Son who trusted in our place and secures us to the Father), not just prescribe better behavior.</w:t>
      </w:r>
    </w:p>
    <w:p>
      <w:pPr>
        <w:numPr>
          <w:ilvl w:val="0"/>
          <w:numId w:val="1002"/>
        </w:numPr>
      </w:pPr>
      <w:r>
        <w:rPr>
          <w:b/>
          <w:bCs/>
        </w:rPr>
        <w:t xml:space="preserve">Flattening the temple-stripping episodes (vv. 17–18) as mere political background.</w:t>
      </w:r>
      <w:r>
        <w:t xml:space="preserve"> </w:t>
      </w:r>
      <w:r>
        <w:t xml:space="preserve">Verses 17–18 are often treated as administrative footnotes. They are not — they are the chapter’s conclusion and its most concrete image: Ahaz dismantling the LORD’s house piece by piece to maintain the Assyrian relationship. This is the final, visible expression of the chapter’s thesis. A sermon that treats these verses as background has cut off the passage’s most memorable concrete image of what it looks like when the substitute lord’s demands are allowed to consume what belongs to the true Lord.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2026-07-14T21:03:07Z</dcterms:created>
  <dcterms:modified xsi:type="dcterms:W3CDTF">2026-07-14T21:03:07Z</dcterms:modified>
</cp:coreProperties>
</file>

<file path=docProps/custom.xml><?xml version="1.0" encoding="utf-8"?>
<Properties xmlns="http://schemas.openxmlformats.org/officeDocument/2006/custom-properties" xmlns:vt="http://schemas.openxmlformats.org/officeDocument/2006/docPropsVTypes"/>
</file>